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İşleme Şartı Haritası</w:t>
      </w:r>
    </w:p>
    <w:p>
      <w:pPr>
        <w:spacing w:after="200"/>
      </w:pPr>
      <w:r>
        <w:rPr>
          <w:color w:val="8A92A6"/>
          <w:sz w:val="20"/>
        </w:rPr>
        <w:t>Her ajanın işlediği kişisel veriyi hukuki zemine bağlayın.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39"/>
        <w:gridCol w:w="1939"/>
        <w:gridCol w:w="1939"/>
        <w:gridCol w:w="1939"/>
        <w:gridCol w:w="1939"/>
        <w:gridCol w:w="1939"/>
        <w:gridCol w:w="1939"/>
      </w:tblGrid>
      <w:tr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Ajan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Veri Kategorisi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Sıfat (Sorumlu/İşleyen)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İşleme Şartı (KVKK m.5)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Yurt Dışı Aktarım?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Aktarım Mekanizması</w:t>
            </w:r>
          </w:p>
        </w:tc>
        <w:tc>
          <w:tcPr>
            <w:tcW w:type="dxa" w:w="1939"/>
          </w:tcPr>
          <w:p>
            <w:r>
              <w:rPr>
                <w:b/>
                <w:color w:val="1B2A41"/>
                <w:sz w:val="18"/>
              </w:rPr>
              <w:t>Not</w:t>
            </w:r>
          </w:p>
        </w:tc>
      </w:tr>
      <w:tr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</w:tr>
      <w:tr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</w:tr>
      <w:tr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</w:tr>
      <w:tr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</w:tr>
      <w:tr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  <w:tc>
          <w:tcPr>
            <w:tcW w:type="dxa" w:w="1939"/>
          </w:tcPr>
          <w:p>
            <w:pPr>
              <w:spacing w:after="120"/>
            </w:pPr>
          </w:p>
        </w:tc>
      </w:tr>
    </w:tbl>
    <w:sectPr w:rsidR="00FC693F" w:rsidRPr="0006063C" w:rsidSect="00034616">
      <w:footerReference w:type="default" r:id="rId9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